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540" w:type="dxa"/>
        <w:tblCellMar>
          <w:top w:w="0" w:type="dxa"/>
          <w:left w:w="0" w:type="dxa"/>
          <w:bottom w:w="0" w:type="dxa"/>
          <w:right w:w="0" w:type="dxa"/>
        </w:tblCellMar>
      </w:tblPr>
      <w:tr>
        <w:trPr>
          <w:trHeight w:val="229"/>
        </w:trPr>
        <w:tc>
          <w:tcPr>
            <w:tcW w:w="5240" w:type="dxa"/>
            <w:vAlign w:val="bottom"/>
            <w:tcBorders>
              <w:right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OMB APPROVAL</w:t>
            </w: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40" w:type="dxa"/>
            <w:vAlign w:val="bottom"/>
            <w:tcBorders>
              <w:right w:val="single" w:sz="8" w:color="auto"/>
            </w:tcBorders>
            <w:vMerge w:val="restart"/>
          </w:tcPr>
          <w:p>
            <w:pPr>
              <w:jc w:val="center"/>
              <w:ind w:right="1270"/>
              <w:spacing w:after="0"/>
              <w:rPr>
                <w:sz w:val="20"/>
                <w:szCs w:val="20"/>
                <w:color w:val="auto"/>
              </w:rPr>
            </w:pPr>
            <w:r>
              <w:rPr>
                <w:rFonts w:ascii="Arial" w:cs="Arial" w:eastAsia="Arial" w:hAnsi="Arial"/>
                <w:sz w:val="18"/>
                <w:szCs w:val="18"/>
                <w:b w:val="1"/>
                <w:bCs w:val="1"/>
                <w:color w:val="auto"/>
                <w:w w:val="97"/>
              </w:rPr>
              <w:t>UNITED STATES</w:t>
            </w:r>
          </w:p>
        </w:tc>
        <w:tc>
          <w:tcPr>
            <w:tcW w:w="1260" w:type="dxa"/>
            <w:vAlign w:val="bottom"/>
          </w:tcPr>
          <w:p>
            <w:pPr>
              <w:ind w:left="60"/>
              <w:spacing w:after="0" w:line="195" w:lineRule="exact"/>
              <w:rPr>
                <w:sz w:val="20"/>
                <w:szCs w:val="20"/>
                <w:color w:val="auto"/>
              </w:rPr>
            </w:pPr>
            <w:r>
              <w:rPr>
                <w:rFonts w:ascii="Arial" w:cs="Arial" w:eastAsia="Arial" w:hAnsi="Arial"/>
                <w:sz w:val="18"/>
                <w:szCs w:val="18"/>
                <w:color w:val="auto"/>
              </w:rPr>
              <w:t>OMB Number:</w:t>
            </w:r>
          </w:p>
        </w:tc>
        <w:tc>
          <w:tcPr>
            <w:tcW w:w="260" w:type="dxa"/>
            <w:vAlign w:val="bottom"/>
          </w:tcPr>
          <w:p>
            <w:pPr>
              <w:spacing w:after="0"/>
              <w:rPr>
                <w:sz w:val="16"/>
                <w:szCs w:val="16"/>
                <w:color w:val="auto"/>
              </w:rPr>
            </w:pPr>
          </w:p>
        </w:tc>
        <w:tc>
          <w:tcPr>
            <w:tcW w:w="9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3235-0167</w:t>
            </w:r>
          </w:p>
        </w:tc>
        <w:tc>
          <w:tcPr>
            <w:tcW w:w="0" w:type="dxa"/>
            <w:vAlign w:val="bottom"/>
          </w:tcPr>
          <w:p>
            <w:pPr>
              <w:spacing w:after="0"/>
              <w:rPr>
                <w:sz w:val="1"/>
                <w:szCs w:val="1"/>
                <w:color w:val="auto"/>
              </w:rPr>
            </w:pPr>
          </w:p>
        </w:tc>
      </w:tr>
      <w:tr>
        <w:trPr>
          <w:trHeight w:val="212"/>
        </w:trPr>
        <w:tc>
          <w:tcPr>
            <w:tcW w:w="5240" w:type="dxa"/>
            <w:vAlign w:val="bottom"/>
            <w:tcBorders>
              <w:right w:val="single" w:sz="8" w:color="auto"/>
            </w:tcBorders>
            <w:vMerge w:val="continue"/>
          </w:tcPr>
          <w:p>
            <w:pPr>
              <w:spacing w:after="0"/>
              <w:rPr>
                <w:sz w:val="18"/>
                <w:szCs w:val="18"/>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Expires:</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7"/>
              </w:rPr>
              <w:t>July 31, 2024</w:t>
            </w:r>
          </w:p>
        </w:tc>
        <w:tc>
          <w:tcPr>
            <w:tcW w:w="0" w:type="dxa"/>
            <w:vAlign w:val="bottom"/>
          </w:tcPr>
          <w:p>
            <w:pPr>
              <w:spacing w:after="0"/>
              <w:rPr>
                <w:sz w:val="1"/>
                <w:szCs w:val="1"/>
                <w:color w:val="auto"/>
              </w:rPr>
            </w:pPr>
          </w:p>
        </w:tc>
      </w:tr>
      <w:tr>
        <w:trPr>
          <w:trHeight w:val="216"/>
        </w:trPr>
        <w:tc>
          <w:tcPr>
            <w:tcW w:w="5240" w:type="dxa"/>
            <w:vAlign w:val="bottom"/>
            <w:tcBorders>
              <w:right w:val="single" w:sz="8" w:color="auto"/>
            </w:tcBorders>
          </w:tcPr>
          <w:p>
            <w:pPr>
              <w:jc w:val="center"/>
              <w:ind w:right="1270"/>
              <w:spacing w:after="0"/>
              <w:rPr>
                <w:sz w:val="20"/>
                <w:szCs w:val="20"/>
                <w:color w:val="auto"/>
              </w:rPr>
            </w:pPr>
            <w:r>
              <w:rPr>
                <w:rFonts w:ascii="Arial" w:cs="Arial" w:eastAsia="Arial" w:hAnsi="Arial"/>
                <w:sz w:val="18"/>
                <w:szCs w:val="18"/>
                <w:b w:val="1"/>
                <w:bCs w:val="1"/>
                <w:color w:val="auto"/>
              </w:rPr>
              <w:t>SECURITIES AND EXCHANGE COMMISSION</w:t>
            </w:r>
          </w:p>
        </w:tc>
        <w:tc>
          <w:tcPr>
            <w:tcW w:w="2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4"/>
        </w:trPr>
        <w:tc>
          <w:tcPr>
            <w:tcW w:w="5240" w:type="dxa"/>
            <w:vAlign w:val="bottom"/>
            <w:tcBorders>
              <w:right w:val="single" w:sz="8" w:color="auto"/>
            </w:tcBorders>
          </w:tcPr>
          <w:p>
            <w:pPr>
              <w:jc w:val="center"/>
              <w:ind w:right="1270"/>
              <w:spacing w:after="0"/>
              <w:rPr>
                <w:sz w:val="20"/>
                <w:szCs w:val="20"/>
                <w:color w:val="auto"/>
              </w:rPr>
            </w:pPr>
            <w:r>
              <w:rPr>
                <w:rFonts w:ascii="Arial" w:cs="Arial" w:eastAsia="Arial" w:hAnsi="Arial"/>
                <w:sz w:val="18"/>
                <w:szCs w:val="18"/>
                <w:b w:val="1"/>
                <w:bCs w:val="1"/>
                <w:color w:val="auto"/>
                <w:w w:val="90"/>
              </w:rPr>
              <w:t>Washington, D.C. 20549</w:t>
            </w: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hours per response</w:t>
            </w:r>
          </w:p>
        </w:tc>
        <w:tc>
          <w:tcPr>
            <w:tcW w:w="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15</w:t>
      </w:r>
    </w:p>
    <w:p>
      <w:pPr>
        <w:spacing w:after="0" w:line="221" w:lineRule="exact"/>
        <w:rPr>
          <w:sz w:val="24"/>
          <w:szCs w:val="24"/>
          <w:color w:val="auto"/>
        </w:rPr>
      </w:pPr>
    </w:p>
    <w:p>
      <w:pPr>
        <w:jc w:val="center"/>
        <w:ind w:left="40" w:right="20"/>
        <w:spacing w:after="0" w:line="266"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0" w:lineRule="exact"/>
        <w:rPr>
          <w:sz w:val="24"/>
          <w:szCs w:val="24"/>
          <w:color w:val="auto"/>
        </w:rPr>
      </w:pPr>
    </w:p>
    <w:p>
      <w:pPr>
        <w:ind w:left="7820"/>
        <w:spacing w:after="0"/>
        <w:rPr>
          <w:sz w:val="20"/>
          <w:szCs w:val="20"/>
          <w:color w:val="auto"/>
        </w:rPr>
      </w:pPr>
      <w:r>
        <w:rPr>
          <w:rFonts w:ascii="Arial" w:cs="Arial" w:eastAsia="Arial" w:hAnsi="Arial"/>
          <w:sz w:val="18"/>
          <w:szCs w:val="18"/>
          <w:color w:val="auto"/>
        </w:rPr>
        <w:t>Commission File Number 1-14100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6185535</wp:posOffset>
            </wp:positionH>
            <wp:positionV relativeFrom="paragraph">
              <wp:posOffset>-10160</wp:posOffset>
            </wp:positionV>
            <wp:extent cx="9518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IMPAC MORTGAGE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4000 MacArthur Boulevard, Suite 6000, Newport Beach, California 92660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Series D Cumulative Redeemable Preferred Stock, par value $0.01 per share; Warrants to Purchase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each class of securities covered by this Form)</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 Preferred Stock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7"/>
          <w:szCs w:val="17"/>
          <w:color w:val="auto"/>
        </w:rPr>
        <w:t>Please place an X in the box(es) to designate the appropriate rule provision(s) relied upon to terminate or suspend the duty to file reports:</w:t>
      </w:r>
    </w:p>
    <w:p>
      <w:pPr>
        <w:spacing w:after="0" w:line="204" w:lineRule="exact"/>
        <w:rPr>
          <w:sz w:val="24"/>
          <w:szCs w:val="24"/>
          <w:color w:val="auto"/>
        </w:rPr>
      </w:pPr>
    </w:p>
    <w:p>
      <w:pPr>
        <w:ind w:left="1140"/>
        <w:spacing w:after="0" w:line="207" w:lineRule="exact"/>
        <w:tabs>
          <w:tab w:leader="none" w:pos="2800" w:val="left"/>
        </w:tabs>
        <w:rPr>
          <w:sz w:val="20"/>
          <w:szCs w:val="20"/>
          <w:color w:val="auto"/>
        </w:rPr>
      </w:pPr>
      <w:r>
        <w:rPr>
          <w:rFonts w:ascii="Arial" w:cs="Arial" w:eastAsia="Arial" w:hAnsi="Arial"/>
          <w:sz w:val="18"/>
          <w:szCs w:val="18"/>
          <w:color w:val="auto"/>
        </w:rPr>
        <w:t>Rule 12g-4(a)(1)</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1140"/>
        <w:spacing w:after="0" w:line="207" w:lineRule="exact"/>
        <w:tabs>
          <w:tab w:leader="none" w:pos="2800" w:val="left"/>
        </w:tabs>
        <w:rPr>
          <w:sz w:val="20"/>
          <w:szCs w:val="20"/>
          <w:color w:val="auto"/>
        </w:rPr>
      </w:pPr>
      <w:r>
        <w:rPr>
          <w:rFonts w:ascii="Arial" w:cs="Arial" w:eastAsia="Arial" w:hAnsi="Arial"/>
          <w:sz w:val="18"/>
          <w:szCs w:val="18"/>
          <w:color w:val="auto"/>
        </w:rPr>
        <w:t>Rule 12g-4(a)(2)</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140"/>
        <w:spacing w:after="0" w:line="207" w:lineRule="exact"/>
        <w:tabs>
          <w:tab w:leader="none" w:pos="2800" w:val="left"/>
        </w:tabs>
        <w:rPr>
          <w:sz w:val="20"/>
          <w:szCs w:val="20"/>
          <w:color w:val="auto"/>
        </w:rPr>
      </w:pPr>
      <w:r>
        <w:rPr>
          <w:rFonts w:ascii="Arial" w:cs="Arial" w:eastAsia="Arial" w:hAnsi="Arial"/>
          <w:sz w:val="18"/>
          <w:szCs w:val="18"/>
          <w:color w:val="auto"/>
        </w:rPr>
        <w:t>Rule 12h-3(b)(1)(i)</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140"/>
        <w:spacing w:after="0" w:line="207" w:lineRule="exact"/>
        <w:tabs>
          <w:tab w:leader="none" w:pos="2800" w:val="left"/>
        </w:tabs>
        <w:rPr>
          <w:sz w:val="20"/>
          <w:szCs w:val="20"/>
          <w:color w:val="auto"/>
        </w:rPr>
      </w:pPr>
      <w:r>
        <w:rPr>
          <w:rFonts w:ascii="Arial" w:cs="Arial" w:eastAsia="Arial" w:hAnsi="Arial"/>
          <w:sz w:val="18"/>
          <w:szCs w:val="18"/>
          <w:color w:val="auto"/>
        </w:rPr>
        <w:t>Rule 12h-3(b)(1)(ii)</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140"/>
        <w:spacing w:after="0" w:line="207" w:lineRule="exact"/>
        <w:tabs>
          <w:tab w:leader="none" w:pos="2800" w:val="left"/>
        </w:tabs>
        <w:rPr>
          <w:sz w:val="20"/>
          <w:szCs w:val="20"/>
          <w:color w:val="auto"/>
        </w:rPr>
      </w:pPr>
      <w:r>
        <w:rPr>
          <w:rFonts w:ascii="Arial" w:cs="Arial" w:eastAsia="Arial" w:hAnsi="Arial"/>
          <w:sz w:val="18"/>
          <w:szCs w:val="18"/>
          <w:color w:val="auto"/>
        </w:rPr>
        <w:t>Rule 15d-6</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140"/>
        <w:spacing w:after="0" w:line="207" w:lineRule="exact"/>
        <w:tabs>
          <w:tab w:leader="none" w:pos="2800" w:val="left"/>
        </w:tabs>
        <w:rPr>
          <w:sz w:val="20"/>
          <w:szCs w:val="20"/>
          <w:color w:val="auto"/>
        </w:rPr>
      </w:pPr>
      <w:r>
        <w:rPr>
          <w:rFonts w:ascii="Arial" w:cs="Arial" w:eastAsia="Arial" w:hAnsi="Arial"/>
          <w:sz w:val="18"/>
          <w:szCs w:val="18"/>
          <w:color w:val="auto"/>
        </w:rPr>
        <w:t>Rule 15d-22(b)</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44" w:right="339" w:bottom="1440" w:gutter="0" w:footer="0" w:header="0"/>
        </w:sectPr>
      </w:pPr>
    </w:p>
    <w:p>
      <w:pPr>
        <w:spacing w:after="0" w:line="200" w:lineRule="exact"/>
        <w:rPr>
          <w:sz w:val="24"/>
          <w:szCs w:val="24"/>
          <w:color w:val="auto"/>
        </w:rPr>
      </w:pPr>
    </w:p>
    <w:p>
      <w:pPr>
        <w:spacing w:after="0" w:line="23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Approximate number of holders of record as of the certification or notice date: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Series D Cumulative Redeemable Preferred Stock Holders - 33 Warrants to Purchase Common Stock Holders - 30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2888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0" w:lineRule="exact"/>
        <w:rPr>
          <w:sz w:val="24"/>
          <w:szCs w:val="24"/>
          <w:color w:val="auto"/>
        </w:rPr>
      </w:pPr>
    </w:p>
    <w:p>
      <w:pPr>
        <w:sectPr>
          <w:pgSz w:w="11900" w:h="16838" w:orient="portrait"/>
          <w:cols w:equalWidth="0" w:num="2">
            <w:col w:w="5980" w:space="720"/>
            <w:col w:w="4540"/>
          </w:cols>
          <w:pgMar w:left="320" w:top="444" w:right="339" w:bottom="1440" w:gutter="0" w:footer="0" w:header="0"/>
          <w:type w:val="continuous"/>
        </w:sectPr>
      </w:pPr>
    </w:p>
    <w:p>
      <w:pPr>
        <w:ind w:right="80" w:firstLine="324"/>
        <w:spacing w:after="0" w:line="277" w:lineRule="auto"/>
        <w:rPr>
          <w:sz w:val="20"/>
          <w:szCs w:val="20"/>
          <w:color w:val="auto"/>
        </w:rPr>
      </w:pPr>
      <w:r>
        <w:rPr>
          <w:rFonts w:ascii="Arial" w:cs="Arial" w:eastAsia="Arial" w:hAnsi="Arial"/>
          <w:sz w:val="18"/>
          <w:szCs w:val="18"/>
          <w:color w:val="auto"/>
        </w:rPr>
        <w:t xml:space="preserve">Pursuant to the requirements of the Securities Exchange Act of 1934 </w:t>
      </w:r>
      <w:r>
        <w:rPr>
          <w:rFonts w:ascii="Arial" w:cs="Arial" w:eastAsia="Arial" w:hAnsi="Arial"/>
          <w:sz w:val="18"/>
          <w:szCs w:val="18"/>
          <w:i w:val="1"/>
          <w:iCs w:val="1"/>
          <w:color w:val="auto"/>
        </w:rPr>
        <w:t>IMPAC MORTGAGE HOLDINGS, INC</w:t>
      </w:r>
      <w:r>
        <w:rPr>
          <w:rFonts w:ascii="Arial" w:cs="Arial" w:eastAsia="Arial" w:hAnsi="Arial"/>
          <w:sz w:val="18"/>
          <w:szCs w:val="18"/>
          <w:color w:val="auto"/>
        </w:rPr>
        <w:t>. has caused this certification/notice to be signed on its behalf by the undersigned duly authorized person.</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Date:  May 10, 2023</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 Joseph Joffrion</w:t>
            </w:r>
          </w:p>
        </w:tc>
      </w:tr>
      <w:tr>
        <w:trPr>
          <w:trHeight w:val="224"/>
        </w:trPr>
        <w:tc>
          <w:tcPr>
            <w:tcW w:w="580" w:type="dxa"/>
            <w:vAlign w:val="bottom"/>
          </w:tcPr>
          <w:p>
            <w:pPr>
              <w:spacing w:after="0"/>
              <w:rPr>
                <w:sz w:val="19"/>
                <w:szCs w:val="19"/>
                <w:color w:val="auto"/>
              </w:rPr>
            </w:pPr>
          </w:p>
        </w:tc>
        <w:tc>
          <w:tcPr>
            <w:tcW w:w="394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Joffrion, General Counsel</w:t>
            </w:r>
          </w:p>
        </w:tc>
      </w:tr>
    </w:tbl>
    <w:p>
      <w:pPr>
        <w:spacing w:after="0" w:line="18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Instruction: This form is required by Rules 12g-4, 12h-3,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440" w:type="dxa"/>
            <w:vAlign w:val="bottom"/>
          </w:tcPr>
          <w:p>
            <w:pPr>
              <w:ind w:left="460"/>
              <w:spacing w:after="0"/>
              <w:rPr>
                <w:sz w:val="20"/>
                <w:szCs w:val="20"/>
                <w:color w:val="auto"/>
              </w:rPr>
            </w:pPr>
            <w:r>
              <w:rPr>
                <w:rFonts w:ascii="Arial" w:cs="Arial" w:eastAsia="Arial" w:hAnsi="Arial"/>
                <w:sz w:val="18"/>
                <w:szCs w:val="18"/>
                <w:color w:val="auto"/>
                <w:w w:val="94"/>
              </w:rPr>
              <w:t>Persons who respond to the collection of information contained in this form are not required to respond unless the form</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SEC 2069 (08-11)</w:t>
            </w:r>
          </w:p>
        </w:tc>
        <w:tc>
          <w:tcPr>
            <w:tcW w:w="9440" w:type="dxa"/>
            <w:vAlign w:val="bottom"/>
          </w:tcPr>
          <w:p>
            <w:pPr>
              <w:ind w:left="460"/>
              <w:spacing w:after="0"/>
              <w:rPr>
                <w:sz w:val="20"/>
                <w:szCs w:val="20"/>
                <w:color w:val="auto"/>
              </w:rPr>
            </w:pPr>
            <w:r>
              <w:rPr>
                <w:rFonts w:ascii="Arial" w:cs="Arial" w:eastAsia="Arial" w:hAnsi="Arial"/>
                <w:sz w:val="18"/>
                <w:szCs w:val="18"/>
                <w:color w:val="auto"/>
              </w:rPr>
              <w:t>displays a currently valid OMB control number.</w:t>
            </w:r>
          </w:p>
        </w:tc>
      </w:tr>
      <w:tr>
        <w:trPr>
          <w:trHeight w:val="688"/>
        </w:trPr>
        <w:tc>
          <w:tcPr>
            <w:tcW w:w="18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44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2023-05-10T16:18:49Z</dcterms:created>
  <dcterms:modified xsi:type="dcterms:W3CDTF">2023-05-10T16:18:49Z</dcterms:modified>
</cp:coreProperties>
</file>