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Times New Roman;Times;Serif" w:hAnsi="Times New Roman;Times;Serif"/>
          <w:b w:val="false"/>
          <w:i w:val="false"/>
          <w:caps w:val="false"/>
          <w:smallCaps w:val="false"/>
          <w:sz w:val="20"/>
        </w:rPr>
      </w:pPr>
      <w:bookmarkStart w:id="0" w:name="tm2314805d2_posam.htm"/>
      <w:bookmarkStart w:id="1" w:name="kstm2314805d2_posam"/>
      <w:bookmarkEnd w:id="0"/>
      <w:bookmarkEnd w:id="1"/>
      <w:r>
        <w:rPr>
          <w:rFonts w:ascii="Times New Roman;Times;Serif" w:hAnsi="Times New Roman;Times;Serif"/>
          <w:b w:val="false"/>
          <w:i w:val="false"/>
          <w:caps w:val="false"/>
          <w:smallCaps w:val="false"/>
          <w:sz w:val="20"/>
        </w:rPr>
        <w:t>As filed with the Securities and Exchange Commission on May 5, 2023</w:t>
      </w:r>
    </w:p>
    <w:p>
      <w:pPr>
        <w:pStyle w:val="TextBody"/>
        <w:spacing w:before="0" w:after="0"/>
        <w:ind w:left="0" w:right="0" w:hanging="0"/>
        <w:rPr>
          <w:caps w:val="false"/>
          <w:smallCaps w:val="false"/>
        </w:rPr>
      </w:pPr>
      <w:r>
        <w:rPr>
          <w:caps w:val="false"/>
          <w:smallCaps w:val="false"/>
        </w:rPr>
        <w:t> </w:t>
      </w:r>
    </w:p>
    <w:tbl>
      <w:tblPr>
        <w:tblW w:w="4610" w:type="dxa"/>
        <w:jc w:val="left"/>
        <w:tblInd w:w="0" w:type="dxa"/>
        <w:tblCellMar>
          <w:top w:w="0" w:type="dxa"/>
          <w:left w:w="0" w:type="dxa"/>
          <w:bottom w:w="0" w:type="dxa"/>
          <w:right w:w="0" w:type="dxa"/>
        </w:tblCellMar>
      </w:tblPr>
      <w:tblGrid>
        <w:gridCol w:w="75"/>
        <w:gridCol w:w="4535"/>
      </w:tblGrid>
      <w:tr>
        <w:trPr/>
        <w:tc>
          <w:tcPr>
            <w:tcW w:w="75" w:type="dxa"/>
            <w:tcBorders/>
            <w:shd w:fill="auto" w:val="clear"/>
            <w:vAlign w:val="center"/>
          </w:tcPr>
          <w:p>
            <w:pPr>
              <w:pStyle w:val="TableContents"/>
              <w:spacing w:before="0" w:after="283"/>
              <w:rPr/>
            </w:pPr>
            <w:r>
              <w:rPr/>
              <w:t> </w:t>
            </w:r>
          </w:p>
        </w:tc>
        <w:tc>
          <w:tcPr>
            <w:tcW w:w="4535" w:type="dxa"/>
            <w:tcBorders/>
            <w:shd w:fill="auto" w:val="clear"/>
            <w:vAlign w:val="center"/>
          </w:tcPr>
          <w:p>
            <w:pPr>
              <w:pStyle w:val="TableContents"/>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333-46667</w:t>
            </w:r>
          </w:p>
          <w:p>
            <w:pPr>
              <w:pStyle w:val="TableContents"/>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333-52335</w:t>
            </w:r>
          </w:p>
          <w:p>
            <w:pPr>
              <w:pStyle w:val="TableContents"/>
              <w:spacing w:before="0" w:after="0"/>
              <w:ind w:left="0" w:right="0" w:firstLine="2175"/>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333-63456</w:t>
            </w:r>
          </w:p>
          <w:p>
            <w:pPr>
              <w:pStyle w:val="TableContents"/>
              <w:spacing w:before="0" w:after="0"/>
              <w:ind w:left="0" w:right="0" w:firstLine="2175"/>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333-34137</w:t>
            </w:r>
          </w:p>
        </w:tc>
      </w:tr>
    </w:tbl>
    <w:p>
      <w:pPr>
        <w:pStyle w:val="TextBody"/>
        <w:spacing w:before="60" w:after="60"/>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spacing w:before="0" w:after="0"/>
        <w:ind w:left="0" w:right="0" w:hanging="0"/>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S-3 (NO. 333-46667)</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S-3 (NO. 333-52335)</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S-3 (NO. 333-63456)</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4 TO FORM S-3 (NO. 333-34137)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br/>
        <w:t>FORM S-3</w:t>
        <w:br/>
        <w:t>REGISTRATION STATEMENT UNDER</w:t>
        <w:br/>
        <w:t>THE SECURITIES ACT OF 1933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Impac Mortgage Holdings, Inc.</w:t>
      </w:r>
      <w:r>
        <w:rPr>
          <w:rFonts w:ascii="Times New Roman;Times;Serif" w:hAnsi="Times New Roman;Times;Serif"/>
          <w:b w:val="false"/>
          <w:i w:val="false"/>
          <w:caps w:val="false"/>
          <w:smallCaps w:val="false"/>
          <w:sz w:val="20"/>
        </w:rPr>
        <w:b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7795" w:type="dxa"/>
        <w:jc w:val="left"/>
        <w:tblInd w:w="0" w:type="dxa"/>
        <w:tblCellMar>
          <w:top w:w="0" w:type="dxa"/>
          <w:left w:w="0" w:type="dxa"/>
          <w:bottom w:w="0" w:type="dxa"/>
          <w:right w:w="0" w:type="dxa"/>
        </w:tblCellMar>
      </w:tblPr>
      <w:tblGrid>
        <w:gridCol w:w="4880"/>
        <w:gridCol w:w="2915"/>
      </w:tblGrid>
      <w:tr>
        <w:trPr/>
        <w:tc>
          <w:tcPr>
            <w:tcW w:w="4880"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Maryland</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 or organization)</w:t>
            </w:r>
          </w:p>
        </w:tc>
        <w:tc>
          <w:tcPr>
            <w:tcW w:w="291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33-0675505</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4000 MacArthur Blvd., Suite 6000</w:t>
        <w:br/>
        <w:t>Newport Beach, California, 92660</w:t>
        <w:br/>
        <w:t>(949) 475-3600</w:t>
      </w:r>
      <w:r>
        <w:rPr>
          <w:rFonts w:ascii="Times New Roman;Times;Serif" w:hAnsi="Times New Roman;Times;Serif"/>
          <w:b w:val="false"/>
          <w:i w:val="false"/>
          <w:caps w:val="false"/>
          <w:smallCaps w:val="false"/>
          <w:sz w:val="20"/>
        </w:rPr>
        <w:br/>
        <w:t>(Address, including zip code, and telephone number, including area code, of registrant’s principal executive offices)</w:t>
      </w:r>
    </w:p>
    <w:p>
      <w:pPr>
        <w:pStyle w:val="TextBody"/>
        <w:spacing w:before="0" w:after="0"/>
        <w:ind w:left="0" w:right="0" w:hanging="0"/>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Joseph Joffrion</w:t>
        <w:br/>
        <w:t>General Counsel</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 Mortgage Holdings, Inc.</w:t>
        <w:br/>
        <w:t>4000 MacArthur Blvd., Suite 6000</w:t>
        <w:br/>
        <w:t>Newport Beach, California 92660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(949) 475-3600</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spacing w:before="0" w:after="0"/>
        <w:ind w:left="0" w:right="0" w:hanging="0"/>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Not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caps w:val="false"/>
          <w:smallCaps w:val="false"/>
        </w:rPr>
      </w:pPr>
      <w:r>
        <w:rPr>
          <w:caps w:val="false"/>
          <w:smallCaps w:val="false"/>
        </w:rPr>
        <w:t> </w:t>
      </w:r>
    </w:p>
    <w:tbl>
      <w:tblPr>
        <w:tblW w:w="4930" w:type="dxa"/>
        <w:jc w:val="center"/>
        <w:tblInd w:w="0" w:type="dxa"/>
        <w:tblCellMar>
          <w:top w:w="0" w:type="dxa"/>
          <w:left w:w="0" w:type="dxa"/>
          <w:bottom w:w="0" w:type="dxa"/>
          <w:right w:w="0" w:type="dxa"/>
        </w:tblCellMar>
      </w:tblPr>
      <w:tblGrid>
        <w:gridCol w:w="2465"/>
        <w:gridCol w:w="2465"/>
      </w:tblGrid>
      <w:tr>
        <w:trPr/>
        <w:tc>
          <w:tcPr>
            <w:tcW w:w="24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Large accelerated filer  ☐</w:t>
            </w:r>
          </w:p>
        </w:tc>
        <w:tc>
          <w:tcPr>
            <w:tcW w:w="2465" w:type="dxa"/>
            <w:tcBorders/>
            <w:shd w:fill="auto" w:val="clear"/>
            <w:vAlign w:val="center"/>
          </w:tcPr>
          <w:p>
            <w:pPr>
              <w:pStyle w:val="TableContents"/>
              <w:spacing w:before="0" w:after="283"/>
              <w:jc w:val="left"/>
              <w:rPr>
                <w:sz w:val="20"/>
              </w:rPr>
            </w:pPr>
            <w:r>
              <w:rPr>
                <w:sz w:val="20"/>
              </w:rPr>
              <w:t>Accelerated filer   ☐</w:t>
            </w:r>
          </w:p>
        </w:tc>
      </w:tr>
      <w:tr>
        <w:trPr/>
        <w:tc>
          <w:tcPr>
            <w:tcW w:w="2465" w:type="dxa"/>
            <w:tcBorders/>
            <w:shd w:fill="auto" w:val="clear"/>
            <w:vAlign w:val="center"/>
          </w:tcPr>
          <w:p>
            <w:pPr>
              <w:pStyle w:val="TableContents"/>
              <w:spacing w:before="0" w:after="283"/>
              <w:rPr/>
            </w:pPr>
            <w:r>
              <w:rPr/>
              <w:t> </w:t>
            </w:r>
          </w:p>
        </w:tc>
        <w:tc>
          <w:tcPr>
            <w:tcW w:w="2465" w:type="dxa"/>
            <w:tcBorders/>
            <w:shd w:fill="auto" w:val="clear"/>
            <w:vAlign w:val="center"/>
          </w:tcPr>
          <w:p>
            <w:pPr>
              <w:pStyle w:val="TableContents"/>
              <w:spacing w:before="0" w:after="283"/>
              <w:jc w:val="left"/>
              <w:rPr/>
            </w:pPr>
            <w:r>
              <w:rPr/>
              <w:t> </w:t>
            </w:r>
          </w:p>
        </w:tc>
      </w:tr>
      <w:tr>
        <w:trPr/>
        <w:tc>
          <w:tcPr>
            <w:tcW w:w="24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Non-accelerated filer  ☐</w:t>
            </w:r>
          </w:p>
        </w:tc>
        <w:tc>
          <w:tcPr>
            <w:tcW w:w="246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465" w:type="dxa"/>
            <w:tcBorders/>
            <w:shd w:fill="auto" w:val="clear"/>
            <w:vAlign w:val="center"/>
          </w:tcPr>
          <w:p>
            <w:pPr>
              <w:pStyle w:val="TableContents"/>
              <w:spacing w:before="0" w:after="283"/>
              <w:rPr/>
            </w:pPr>
            <w:r>
              <w:rPr/>
              <w:t> </w:t>
            </w:r>
          </w:p>
        </w:tc>
        <w:tc>
          <w:tcPr>
            <w:tcW w:w="2465" w:type="dxa"/>
            <w:tcBorders/>
            <w:shd w:fill="auto" w:val="clear"/>
            <w:vAlign w:val="center"/>
          </w:tcPr>
          <w:p>
            <w:pPr>
              <w:pStyle w:val="TableContents"/>
              <w:spacing w:before="0" w:after="283"/>
              <w:jc w:val="left"/>
              <w:rPr/>
            </w:pPr>
            <w:r>
              <w:rPr/>
              <w:t> </w:t>
            </w:r>
          </w:p>
        </w:tc>
      </w:tr>
      <w:tr>
        <w:trPr/>
        <w:tc>
          <w:tcPr>
            <w:tcW w:w="24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Emerging growth company ☐</w:t>
            </w:r>
          </w:p>
        </w:tc>
        <w:tc>
          <w:tcPr>
            <w:tcW w:w="246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spacing w:before="0" w:after="0"/>
        <w:ind w:left="0" w:right="0" w:hanging="0"/>
        <w:rPr>
          <w:caps w:val="false"/>
          <w:smallCaps w:val="false"/>
        </w:rPr>
      </w:pPr>
      <w:r>
        <w:rPr>
          <w:caps w:val="false"/>
          <w:smallCaps w:val="false"/>
        </w:rPr>
        <w:t> </w:t>
      </w:r>
    </w:p>
    <w:p>
      <w:pPr>
        <w:pStyle w:val="TextBody"/>
        <w:spacing w:before="60" w:after="6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NOTE/DEREGISTRATION OF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 Mortgage Holdings, Inc. (the “Registrant”) is filing these post-effective amendments (the “</w:t>
      </w:r>
      <w:r>
        <w:rPr>
          <w:rFonts w:ascii="Times New Roman;Times;Serif" w:hAnsi="Times New Roman;Times;Serif"/>
          <w:b w:val="false"/>
          <w:i w:val="false"/>
          <w:caps w:val="false"/>
          <w:smallCaps w:val="false"/>
          <w:sz w:val="20"/>
          <w:u w:val="single"/>
        </w:rPr>
        <w:t>Post-Effective Amendments</w:t>
      </w:r>
      <w:r>
        <w:rPr>
          <w:rFonts w:ascii="Times New Roman;Times;Serif" w:hAnsi="Times New Roman;Times;Serif"/>
          <w:b w:val="false"/>
          <w:i w:val="false"/>
          <w:caps w:val="false"/>
          <w:smallCaps w:val="false"/>
          <w:sz w:val="20"/>
        </w:rPr>
        <w:t>”) to the following Registration Statements on Form S-3 (the “</w:t>
      </w:r>
      <w:r>
        <w:rPr>
          <w:rFonts w:ascii="Times New Roman;Times;Serif" w:hAnsi="Times New Roman;Times;Serif"/>
          <w:b w:val="false"/>
          <w:i w:val="false"/>
          <w:caps w:val="false"/>
          <w:smallCaps w:val="false"/>
          <w:sz w:val="20"/>
          <w:u w:val="single"/>
        </w:rPr>
        <w:t>Prior Registration Statements</w:t>
      </w:r>
      <w:r>
        <w:rPr>
          <w:rFonts w:ascii="Times New Roman;Times;Serif" w:hAnsi="Times New Roman;Times;Serif"/>
          <w:b w:val="false"/>
          <w:i w:val="false"/>
          <w:caps w:val="false"/>
          <w:smallCaps w:val="false"/>
          <w:sz w:val="20"/>
        </w:rPr>
        <w:t>”), which have been previously filed with the Securities and Exchange Commission (the “SEC”), to deregister: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Any and all securities, registered but unsold or otherwise unissued as of the date hereof under </w:t>
      </w:r>
      <w:r>
        <w:rPr>
          <w:rFonts w:ascii="Times New Roman;Times;Serif" w:hAnsi="Times New Roman;Times;Serif"/>
          <w:b/>
          <w:i w:val="false"/>
          <w:caps w:val="false"/>
          <w:smallCaps w:val="false"/>
          <w:sz w:val="20"/>
        </w:rPr>
        <w:t>Registration No. 333-46667</w:t>
      </w:r>
      <w:r>
        <w:rPr>
          <w:rFonts w:ascii="Times New Roman;Times;Serif" w:hAnsi="Times New Roman;Times;Serif"/>
          <w:b w:val="false"/>
          <w:i w:val="false"/>
          <w:caps w:val="false"/>
          <w:smallCaps w:val="false"/>
          <w:sz w:val="20"/>
        </w:rPr>
        <w:t>, filed with the SEC on February 20, 1998, as amended on April 24, 1998 and June 30, 1998, respectively, registering up to 2,009,310 shares of Common Stock offered for sale, from time to time, by the selling stockholder identified thereby.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Any and all securities, registered but unsold or otherwise unissued as of the date hereof under </w:t>
      </w:r>
      <w:r>
        <w:rPr>
          <w:rFonts w:ascii="Times New Roman;Times;Serif" w:hAnsi="Times New Roman;Times;Serif"/>
          <w:b/>
          <w:i w:val="false"/>
          <w:caps w:val="false"/>
          <w:smallCaps w:val="false"/>
          <w:sz w:val="20"/>
        </w:rPr>
        <w:t>Registration No. 333-63456</w:t>
      </w:r>
      <w:r>
        <w:rPr>
          <w:rFonts w:ascii="Times New Roman;Times;Serif" w:hAnsi="Times New Roman;Times;Serif"/>
          <w:b w:val="false"/>
          <w:i w:val="false"/>
          <w:caps w:val="false"/>
          <w:smallCaps w:val="false"/>
          <w:sz w:val="20"/>
        </w:rPr>
        <w:t>, filed with the SEC on June 20, 2001, as amended on July 31, 2001 and August 28, 2001, respectively, registering up to 6,350,932 shares of Common Stock offered for sale, from time to time, by the selling stockholder identified thereby.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Any and all securities, registered but unsold or otherwise unissued as of the date hereof under </w:t>
      </w:r>
      <w:r>
        <w:rPr>
          <w:rFonts w:ascii="Times New Roman;Times;Serif" w:hAnsi="Times New Roman;Times;Serif"/>
          <w:b/>
          <w:i w:val="false"/>
          <w:caps w:val="false"/>
          <w:smallCaps w:val="false"/>
          <w:sz w:val="20"/>
        </w:rPr>
        <w:t>Registration No. 333-52335</w:t>
      </w:r>
      <w:r>
        <w:rPr>
          <w:rFonts w:ascii="Times New Roman;Times;Serif" w:hAnsi="Times New Roman;Times;Serif"/>
          <w:b w:val="false"/>
          <w:i w:val="false"/>
          <w:caps w:val="false"/>
          <w:smallCaps w:val="false"/>
          <w:sz w:val="20"/>
        </w:rPr>
        <w:t>, filed with the SEC on May 11, 1988, as amended on September 4, 1998, registering up to 1,990,147 shares of Common Stock offered for sale, from time to time, by the Registrant pursuant to the Registrant’s Dividend Reinvestment and Stock Purchase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Any and all securities, registered but unsold or otherwise unissued as of the date hereof under </w:t>
      </w:r>
      <w:r>
        <w:rPr>
          <w:rFonts w:ascii="Times New Roman;Times;Serif" w:hAnsi="Times New Roman;Times;Serif"/>
          <w:b/>
          <w:i w:val="false"/>
          <w:caps w:val="false"/>
          <w:smallCaps w:val="false"/>
          <w:sz w:val="20"/>
        </w:rPr>
        <w:t>Registration No. 333-34137</w:t>
      </w:r>
      <w:r>
        <w:rPr>
          <w:rFonts w:ascii="Times New Roman;Times;Serif" w:hAnsi="Times New Roman;Times;Serif"/>
          <w:b w:val="false"/>
          <w:i w:val="false"/>
          <w:caps w:val="false"/>
          <w:smallCaps w:val="false"/>
          <w:sz w:val="20"/>
        </w:rPr>
        <w:t>, filed with the SEC on August 22, 1997 and as amended on September 9, 1997, and amended by Post-Effective Amendments on each of November 14, 1997, March 16, 1998 and April 27, 1998, respectively, registering an indeterminate number of the Registrant’s Common Stock, Preferred Stock, Preferred Stock Warrants, Common Stock Warrants, Debt Securities, and Debt Securities Warrants, with an aggregate purchase price up to $200 million, offered for sale, from time to time, by the Registrant and the selling stockholder(s) identified thereby.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2023, the Company announced that the NYSE American, LLC (“</w:t>
      </w:r>
      <w:r>
        <w:rPr>
          <w:rFonts w:ascii="Times New Roman;Times;Serif" w:hAnsi="Times New Roman;Times;Serif"/>
          <w:b w:val="false"/>
          <w:i w:val="false"/>
          <w:caps w:val="false"/>
          <w:smallCaps w:val="false"/>
          <w:sz w:val="20"/>
          <w:u w:val="single"/>
        </w:rPr>
        <w:t>NYSE American</w:t>
      </w:r>
      <w:r>
        <w:rPr>
          <w:rFonts w:ascii="Times New Roman;Times;Serif" w:hAnsi="Times New Roman;Times;Serif"/>
          <w:b w:val="false"/>
          <w:i w:val="false"/>
          <w:caps w:val="false"/>
          <w:smallCaps w:val="false"/>
          <w:sz w:val="20"/>
        </w:rPr>
        <w:t>”) had delisted its common stock and preferred stock purchase rights as a result of the Company’s failure to comply with the NYSE American’s shareholder equity requirements. Following the delisting, on May 3, 2023 the Company’s Board of Directors determined that it was in the best interests of the Company to suspend its reporting requirements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with the SEC. In connection with the Company’s decision, the Company has terminated any and all offerings pursuant to the aforementioned Prior Registration Statements. </w:t>
      </w:r>
      <w:r>
        <w:rPr>
          <w:rFonts w:ascii="Times New Roman;Times;Serif" w:hAnsi="Times New Roman;Times;Serif"/>
          <w:b w:val="false"/>
          <w:i w:val="false"/>
          <w:caps w:val="false"/>
          <w:smallCaps w:val="false"/>
          <w:sz w:val="20"/>
          <w:highlight w:val="white"/>
        </w:rPr>
        <w:t>Accordingly, this filing is made pursuant to an undertaking made by the Company in Part II of each the Prior Registration Statement to remove from registration by means of a post-effective amendment any securities that had been registered for issuance but remain unsold at the termination of each offering. The Company, by filing these Post-Effective Amendments, hereby terminates the effectiveness of the Prior Registration Statements and removes from registration any and all securities registered but unsold or otherwise unissued under the Prior Registration Statements as of the date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“Securities Act”), the Company certifies that it has reasonable grounds to believe that it meets all of the requirements for filing on Form S-3 and has duly caused these Post-Effective Amendments to the Registration Statements on Form S-3 to be signed on its behalf by the undersigned, thereunto duly authorized, in the City of Newport Beach, State of California on May 5, 2023.</w:t>
      </w:r>
    </w:p>
    <w:p>
      <w:pPr>
        <w:pStyle w:val="TextBody"/>
        <w:spacing w:before="0" w:after="0"/>
        <w:ind w:left="0" w:right="0" w:hanging="0"/>
        <w:rPr>
          <w:caps w:val="false"/>
          <w:smallCaps w:val="false"/>
        </w:rPr>
      </w:pPr>
      <w:r>
        <w:rPr>
          <w:caps w:val="false"/>
          <w:smallCaps w:val="false"/>
        </w:rPr>
        <w:t> </w:t>
      </w:r>
    </w:p>
    <w:tbl>
      <w:tblPr>
        <w:tblW w:w="3529" w:type="dxa"/>
        <w:jc w:val="left"/>
        <w:tblInd w:w="0" w:type="dxa"/>
        <w:tblCellMar>
          <w:top w:w="0" w:type="dxa"/>
          <w:left w:w="0" w:type="dxa"/>
          <w:bottom w:w="0" w:type="dxa"/>
          <w:right w:w="0" w:type="dxa"/>
        </w:tblCellMar>
      </w:tblPr>
      <w:tblGrid>
        <w:gridCol w:w="75"/>
        <w:gridCol w:w="473"/>
        <w:gridCol w:w="2981"/>
      </w:tblGrid>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 MORTGAGE HOLDINGS, INC.</w:t>
            </w:r>
          </w:p>
        </w:tc>
      </w:tr>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73" w:type="dxa"/>
            <w:tcBorders/>
            <w:shd w:fill="auto" w:val="clear"/>
            <w:vAlign w:val="center"/>
          </w:tcPr>
          <w:p>
            <w:pPr>
              <w:pStyle w:val="TableContents"/>
              <w:spacing w:before="0" w:after="283"/>
              <w:rPr/>
            </w:pPr>
            <w:r>
              <w:rPr/>
              <w:t>By:</w:t>
            </w:r>
          </w:p>
        </w:tc>
        <w:tc>
          <w:tcPr>
            <w:tcW w:w="2981" w:type="dxa"/>
            <w:tcBorders>
              <w:bottom w:val="single" w:sz="8" w:space="0" w:color="000000"/>
            </w:tcBorders>
            <w:shd w:fill="auto" w:val="clear"/>
            <w:tcMar>
              <w:bottom w:w="28" w:type="dxa"/>
            </w:tcMar>
            <w:vAlign w:val="center"/>
          </w:tcPr>
          <w:p>
            <w:pPr>
              <w:pStyle w:val="TableContents"/>
              <w:spacing w:before="0" w:after="283"/>
              <w:rPr/>
            </w:pPr>
            <w:r>
              <w:rPr/>
              <w:t>/s/ Joseph Joffrion</w:t>
            </w:r>
          </w:p>
        </w:tc>
      </w:tr>
      <w:tr>
        <w:trPr/>
        <w:tc>
          <w:tcPr>
            <w:tcW w:w="75" w:type="dxa"/>
            <w:tcBorders/>
            <w:shd w:fill="auto" w:val="clear"/>
            <w:vAlign w:val="center"/>
          </w:tcPr>
          <w:p>
            <w:pPr>
              <w:pStyle w:val="TableContents"/>
              <w:spacing w:before="0" w:after="283"/>
              <w:rPr/>
            </w:pPr>
            <w:r>
              <w:rPr/>
              <w:t> </w:t>
            </w:r>
          </w:p>
        </w:tc>
        <w:tc>
          <w:tcPr>
            <w:tcW w:w="473" w:type="dxa"/>
            <w:tcBorders/>
            <w:shd w:fill="auto" w:val="clear"/>
            <w:vAlign w:val="center"/>
          </w:tcPr>
          <w:p>
            <w:pPr>
              <w:pStyle w:val="TableContents"/>
              <w:spacing w:before="0" w:after="283"/>
              <w:rPr/>
            </w:pPr>
            <w:r>
              <w:rPr/>
              <w:t> </w:t>
            </w:r>
          </w:p>
        </w:tc>
        <w:tc>
          <w:tcPr>
            <w:tcW w:w="2981" w:type="dxa"/>
            <w:tcBorders/>
            <w:shd w:fill="auto" w:val="clear"/>
            <w:vAlign w:val="center"/>
          </w:tcPr>
          <w:p>
            <w:pPr>
              <w:pStyle w:val="TableContents"/>
              <w:spacing w:before="0" w:after="283"/>
              <w:rPr/>
            </w:pPr>
            <w:r>
              <w:rPr/>
              <w:t>Name:  Joseph Joffrion</w:t>
            </w:r>
          </w:p>
        </w:tc>
      </w:tr>
      <w:tr>
        <w:trPr/>
        <w:tc>
          <w:tcPr>
            <w:tcW w:w="75" w:type="dxa"/>
            <w:tcBorders/>
            <w:shd w:fill="auto" w:val="clear"/>
            <w:vAlign w:val="center"/>
          </w:tcPr>
          <w:p>
            <w:pPr>
              <w:pStyle w:val="TableContents"/>
              <w:spacing w:before="0" w:after="283"/>
              <w:rPr/>
            </w:pPr>
            <w:r>
              <w:rPr/>
              <w:t> </w:t>
            </w:r>
          </w:p>
        </w:tc>
        <w:tc>
          <w:tcPr>
            <w:tcW w:w="473" w:type="dxa"/>
            <w:tcBorders/>
            <w:shd w:fill="auto" w:val="clear"/>
            <w:vAlign w:val="center"/>
          </w:tcPr>
          <w:p>
            <w:pPr>
              <w:pStyle w:val="TableContents"/>
              <w:spacing w:before="0" w:after="283"/>
              <w:rPr/>
            </w:pPr>
            <w:r>
              <w:rPr/>
              <w:t> </w:t>
            </w:r>
          </w:p>
        </w:tc>
        <w:tc>
          <w:tcPr>
            <w:tcW w:w="2981" w:type="dxa"/>
            <w:tcBorders/>
            <w:shd w:fill="auto" w:val="clear"/>
            <w:vAlign w:val="center"/>
          </w:tcPr>
          <w:p>
            <w:pPr>
              <w:pStyle w:val="TableContents"/>
              <w:spacing w:before="0" w:after="283"/>
              <w:rPr/>
            </w:pPr>
            <w:r>
              <w:rPr/>
              <w:t>Title:    General Counsel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report has been signed by the following persons on behalf of the registrant and in the capacities and on the dates indicated.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2272"/>
        <w:gridCol w:w="60"/>
        <w:gridCol w:w="6703"/>
        <w:gridCol w:w="60"/>
        <w:gridCol w:w="1110"/>
      </w:tblGrid>
      <w:tr>
        <w:trPr/>
        <w:tc>
          <w:tcPr>
            <w:tcW w:w="227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6703"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1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272"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tcBorders/>
            <w:shd w:fill="auto" w:val="clear"/>
            <w:tcMar>
              <w:bottom w:w="0" w:type="dxa"/>
            </w:tcMar>
            <w:vAlign w:val="center"/>
          </w:tcPr>
          <w:p>
            <w:pPr>
              <w:pStyle w:val="TableContents"/>
              <w:spacing w:before="0" w:after="283"/>
              <w:jc w:val="right"/>
              <w:rPr/>
            </w:pPr>
            <w:r>
              <w:rPr/>
              <w:t> </w:t>
            </w:r>
          </w:p>
        </w:tc>
      </w:tr>
      <w:tr>
        <w:trPr/>
        <w:tc>
          <w:tcPr>
            <w:tcW w:w="227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George A. Mangiaracina</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Chairman of the Board, Chief Executive Officer and </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vMerge w:val="restart"/>
            <w:tcBorders/>
            <w:shd w:fill="auto" w:val="clear"/>
            <w:tcMar>
              <w:bottom w:w="0" w:type="dxa"/>
            </w:tcMar>
            <w:vAlign w:val="center"/>
          </w:tcPr>
          <w:p>
            <w:pPr>
              <w:pStyle w:val="TableContents"/>
              <w:spacing w:before="0" w:after="283"/>
              <w:jc w:val="right"/>
              <w:rPr/>
            </w:pPr>
            <w:r>
              <w:rPr/>
              <w:t>May 5, 2023</w:t>
            </w:r>
          </w:p>
        </w:tc>
      </w:tr>
      <w:tr>
        <w:trPr/>
        <w:tc>
          <w:tcPr>
            <w:tcW w:w="227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George A. Mangiaracina</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 (Principal Executive Officer)</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vMerge w:val="continue"/>
            <w:tcBorders/>
            <w:shd w:fill="auto" w:val="clear"/>
            <w:tcMar>
              <w:bottom w:w="0" w:type="dxa"/>
            </w:tcMar>
            <w:vAlign w:val="center"/>
          </w:tcPr>
          <w:p>
            <w:pPr>
              <w:pStyle w:val="Normal"/>
              <w:rPr/>
            </w:pPr>
            <w:r>
              <w:rPr/>
            </w:r>
          </w:p>
        </w:tc>
      </w:tr>
      <w:tr>
        <w:trPr/>
        <w:tc>
          <w:tcPr>
            <w:tcW w:w="2272"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tcBorders/>
            <w:shd w:fill="auto" w:val="clear"/>
            <w:tcMar>
              <w:bottom w:w="0" w:type="dxa"/>
            </w:tcMar>
            <w:vAlign w:val="center"/>
          </w:tcPr>
          <w:p>
            <w:pPr>
              <w:pStyle w:val="TableContents"/>
              <w:spacing w:before="0" w:after="283"/>
              <w:jc w:val="right"/>
              <w:rPr/>
            </w:pPr>
            <w:r>
              <w:rPr/>
              <w:t> </w:t>
            </w:r>
          </w:p>
        </w:tc>
      </w:tr>
      <w:tr>
        <w:trPr/>
        <w:tc>
          <w:tcPr>
            <w:tcW w:w="2272" w:type="dxa"/>
            <w:tcBorders>
              <w:bottom w:val="single" w:sz="8" w:space="0" w:color="000000"/>
            </w:tcBorders>
            <w:shd w:fill="auto" w:val="clear"/>
            <w:vAlign w:val="center"/>
          </w:tcPr>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Jon Gloeckner</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SVP, Treasury &amp; Financial Reporting (Interim Principal Financial Officer and Principal Accounting Officer)</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vMerge w:val="restart"/>
            <w:tcBorders/>
            <w:shd w:fill="auto"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May 5, 2023</w:t>
            </w:r>
          </w:p>
        </w:tc>
      </w:tr>
      <w:tr>
        <w:trPr/>
        <w:tc>
          <w:tcPr>
            <w:tcW w:w="227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Jon Gloeckner</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vMerge w:val="continue"/>
            <w:tcBorders/>
            <w:shd w:fill="auto" w:val="clear"/>
            <w:tcMar>
              <w:bottom w:w="0" w:type="dxa"/>
            </w:tcMar>
            <w:vAlign w:val="center"/>
          </w:tcPr>
          <w:p>
            <w:pPr>
              <w:pStyle w:val="Normal"/>
              <w:rPr/>
            </w:pPr>
            <w:r>
              <w:rPr/>
            </w:r>
          </w:p>
        </w:tc>
      </w:tr>
      <w:tr>
        <w:trPr/>
        <w:tc>
          <w:tcPr>
            <w:tcW w:w="2272"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tcBorders/>
            <w:shd w:fill="auto" w:val="clear"/>
            <w:tcMar>
              <w:bottom w:w="0" w:type="dxa"/>
            </w:tcMar>
            <w:vAlign w:val="center"/>
          </w:tcPr>
          <w:p>
            <w:pPr>
              <w:pStyle w:val="TableContents"/>
              <w:spacing w:before="0" w:after="283"/>
              <w:jc w:val="right"/>
              <w:rPr/>
            </w:pPr>
            <w:r>
              <w:rPr/>
              <w:t> </w:t>
            </w:r>
          </w:p>
        </w:tc>
      </w:tr>
      <w:tr>
        <w:trPr/>
        <w:tc>
          <w:tcPr>
            <w:tcW w:w="227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Katherine Blair</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tcBorders/>
            <w:shd w:fill="auto"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May 5, 2023</w:t>
            </w:r>
          </w:p>
        </w:tc>
      </w:tr>
      <w:tr>
        <w:trPr/>
        <w:tc>
          <w:tcPr>
            <w:tcW w:w="227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Katherine Blair</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tcBorders/>
            <w:shd w:fill="auto" w:val="clear"/>
            <w:tcMar>
              <w:bottom w:w="0" w:type="dxa"/>
            </w:tcMar>
            <w:vAlign w:val="center"/>
          </w:tcPr>
          <w:p>
            <w:pPr>
              <w:pStyle w:val="TableContents"/>
              <w:spacing w:before="0" w:after="283"/>
              <w:jc w:val="right"/>
              <w:rPr/>
            </w:pPr>
            <w:r>
              <w:rPr/>
              <w:t> </w:t>
            </w:r>
          </w:p>
        </w:tc>
      </w:tr>
      <w:tr>
        <w:trPr/>
        <w:tc>
          <w:tcPr>
            <w:tcW w:w="2272"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tcBorders/>
            <w:shd w:fill="auto" w:val="clear"/>
            <w:tcMar>
              <w:bottom w:w="0" w:type="dxa"/>
            </w:tcMar>
            <w:vAlign w:val="center"/>
          </w:tcPr>
          <w:p>
            <w:pPr>
              <w:pStyle w:val="TableContents"/>
              <w:spacing w:before="0" w:after="283"/>
              <w:jc w:val="right"/>
              <w:rPr/>
            </w:pPr>
            <w:r>
              <w:rPr/>
              <w:t> </w:t>
            </w:r>
          </w:p>
        </w:tc>
      </w:tr>
      <w:tr>
        <w:trPr/>
        <w:tc>
          <w:tcPr>
            <w:tcW w:w="227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Frank P. Filipps</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tcBorders/>
            <w:shd w:fill="auto"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May 5, 2023</w:t>
            </w:r>
          </w:p>
        </w:tc>
      </w:tr>
      <w:tr>
        <w:trPr/>
        <w:tc>
          <w:tcPr>
            <w:tcW w:w="227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Frank P. Filipps</w:t>
            </w:r>
          </w:p>
        </w:tc>
        <w:tc>
          <w:tcPr>
            <w:tcW w:w="60" w:type="dxa"/>
            <w:tcBorders/>
            <w:shd w:fill="auto" w:val="clear"/>
            <w:tcMar>
              <w:bottom w:w="0" w:type="dxa"/>
            </w:tcMar>
            <w:vAlign w:val="center"/>
          </w:tcPr>
          <w:p>
            <w:pPr>
              <w:pStyle w:val="TableContents"/>
              <w:spacing w:before="0" w:after="283"/>
              <w:rPr/>
            </w:pPr>
            <w:r>
              <w:rPr/>
              <w:t> </w:t>
            </w:r>
          </w:p>
        </w:tc>
        <w:tc>
          <w:tcPr>
            <w:tcW w:w="670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right"/>
              <w:rPr/>
            </w:pPr>
            <w:r>
              <w:rPr/>
              <w:t> </w:t>
            </w:r>
          </w:p>
        </w:tc>
        <w:tc>
          <w:tcPr>
            <w:tcW w:w="1110" w:type="dxa"/>
            <w:tcBorders/>
            <w:shd w:fill="auto" w:val="clear"/>
            <w:tcMar>
              <w:bottom w:w="0" w:type="dxa"/>
            </w:tcMar>
            <w:vAlign w:val="center"/>
          </w:tcPr>
          <w:p>
            <w:pPr>
              <w:pStyle w:val="TableContents"/>
              <w:spacing w:before="0" w:after="283"/>
              <w:jc w:val="right"/>
              <w:rPr/>
            </w:pPr>
            <w:r>
              <w:rPr/>
              <w:t> </w:t>
            </w:r>
          </w:p>
        </w:tc>
      </w:tr>
    </w:tbl>
    <w:p>
      <w:pPr>
        <w:pStyle w:val="TextBody"/>
        <w:rPr/>
      </w:pPr>
      <w:r>
        <w:rPr/>
        <w:t> </w:t>
      </w:r>
    </w:p>
    <w:p>
      <w:pPr>
        <w:pStyle w:val="TextBody"/>
        <w:spacing w:before="0" w:after="0"/>
        <w:ind w:left="0" w:right="0" w:hanging="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3</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1238</Words>
  <CharactersWithSpaces>8162</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