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15573d1_1512ga.htm"/>
      <w:bookmarkStart w:id="1" w:name="kstm2315573d1_1512ga"/>
      <w:bookmarkEnd w:id="0"/>
      <w:bookmarkEnd w:id="1"/>
      <w:r>
        <w:rPr/>
        <w:t> </w:t>
      </w:r>
    </w:p>
    <w:tbl>
      <w:tblPr>
        <w:tblW w:w="6790" w:type="dxa"/>
        <w:jc w:val="left"/>
        <w:tblInd w:w="0" w:type="dxa"/>
        <w:tblLayout w:type="fixed"/>
        <w:tblCellMar>
          <w:top w:w="0" w:type="dxa"/>
          <w:left w:w="0" w:type="dxa"/>
          <w:bottom w:w="0" w:type="dxa"/>
          <w:right w:w="0" w:type="dxa"/>
        </w:tblCellMar>
      </w:tblPr>
      <w:tblGrid>
        <w:gridCol w:w="75"/>
        <w:gridCol w:w="4130"/>
        <w:gridCol w:w="2585"/>
      </w:tblGrid>
      <w:tr>
        <w:trPr/>
        <w:tc>
          <w:tcPr>
            <w:tcW w:w="75"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center"/>
              <w:rPr/>
            </w:pPr>
            <w:r>
              <w:rPr/>
              <w:t> </w:t>
            </w:r>
          </w:p>
        </w:tc>
        <w:tc>
          <w:tcPr>
            <w:tcW w:w="2585" w:type="dxa"/>
            <w:tcBorders>
              <w:top w:val="single" w:sz="8" w:space="0" w:color="000000"/>
              <w:left w:val="single" w:sz="8" w:space="0" w:color="000000"/>
              <w:bottom w:val="single" w:sz="8" w:space="0" w:color="000000"/>
              <w:right w:val="single" w:sz="8" w:space="0" w:color="000000"/>
            </w:tcBorders>
            <w:tcMar>
              <w:top w:w="28" w:type="dxa"/>
              <w:left w:w="6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OMB APPROVAL</w:t>
            </w:r>
          </w:p>
        </w:tc>
      </w:tr>
      <w:tr>
        <w:trPr/>
        <w:tc>
          <w:tcPr>
            <w:tcW w:w="75"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center"/>
              <w:rPr/>
            </w:pPr>
            <w:r>
              <w:rPr/>
              <w:t> </w:t>
            </w:r>
          </w:p>
        </w:tc>
        <w:tc>
          <w:tcPr>
            <w:tcW w:w="2585" w:type="dxa"/>
            <w:tcBorders>
              <w:left w:val="single" w:sz="8" w:space="0" w:color="000000"/>
              <w:right w:val="single" w:sz="8" w:space="0" w:color="000000"/>
            </w:tcBorders>
            <w:tcMar>
              <w:left w:w="6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OMB Number:          3235-0167</w:t>
            </w:r>
          </w:p>
        </w:tc>
      </w:tr>
      <w:tr>
        <w:trPr/>
        <w:tc>
          <w:tcPr>
            <w:tcW w:w="75"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UNITED STATES</w:t>
            </w:r>
          </w:p>
        </w:tc>
        <w:tc>
          <w:tcPr>
            <w:tcW w:w="2585" w:type="dxa"/>
            <w:tcBorders>
              <w:left w:val="single" w:sz="8" w:space="0" w:color="000000"/>
              <w:right w:val="single" w:sz="8" w:space="0" w:color="000000"/>
            </w:tcBorders>
            <w:tcMar>
              <w:left w:w="6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Expires:                July 31, 2024</w:t>
            </w:r>
          </w:p>
        </w:tc>
      </w:tr>
      <w:tr>
        <w:trPr/>
        <w:tc>
          <w:tcPr>
            <w:tcW w:w="75"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AND EXCHANGE COMMISSION</w:t>
            </w:r>
          </w:p>
        </w:tc>
        <w:tc>
          <w:tcPr>
            <w:tcW w:w="2585" w:type="dxa"/>
            <w:tcBorders>
              <w:left w:val="single" w:sz="8" w:space="0" w:color="000000"/>
              <w:right w:val="single" w:sz="8" w:space="0" w:color="000000"/>
            </w:tcBorders>
            <w:tcMar>
              <w:left w:w="6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average burden</w:t>
            </w:r>
          </w:p>
        </w:tc>
      </w:tr>
      <w:tr>
        <w:trPr/>
        <w:tc>
          <w:tcPr>
            <w:tcW w:w="75"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Washington, D.C. 20549</w:t>
            </w:r>
          </w:p>
        </w:tc>
        <w:tc>
          <w:tcPr>
            <w:tcW w:w="2585" w:type="dxa"/>
            <w:tcBorders>
              <w:left w:val="single" w:sz="8" w:space="0" w:color="000000"/>
              <w:bottom w:val="single" w:sz="8" w:space="0" w:color="000000"/>
              <w:right w:val="single" w:sz="8" w:space="0" w:color="000000"/>
            </w:tcBorders>
            <w:tcMar>
              <w:left w:w="6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hours per response     1.50</w:t>
            </w:r>
          </w:p>
        </w:tc>
      </w:tr>
    </w:tbl>
    <w:p>
      <w:pPr>
        <w:pStyle w:val="TextBody"/>
        <w:bidi w:val="0"/>
        <w:spacing w:before="0" w:after="0"/>
        <w:jc w:val="center"/>
        <w:rPr>
          <w:caps w:val="false"/>
          <w:smallCaps w:val="false"/>
          <w:color w:val="231F20"/>
        </w:rPr>
      </w:pPr>
      <w:r>
        <w:rPr>
          <w:caps w:val="false"/>
          <w:smallCaps w:val="false"/>
          <w:color w:val="231F20"/>
        </w:rPr>
        <w:t> </w:t>
      </w:r>
    </w:p>
    <w:p>
      <w:pPr>
        <w:pStyle w:val="TextBody"/>
        <w:bidi w:val="0"/>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FORM 15/A</w:t>
      </w:r>
    </w:p>
    <w:p>
      <w:pPr>
        <w:pStyle w:val="TextBody"/>
        <w:bidi w:val="0"/>
        <w:spacing w:before="0" w:after="0"/>
        <w:jc w:val="center"/>
        <w:rPr>
          <w:caps w:val="false"/>
          <w:smallCaps w:val="false"/>
          <w:color w:val="231F20"/>
        </w:rPr>
      </w:pPr>
      <w:r>
        <w:rPr>
          <w:caps w:val="false"/>
          <w:smallCaps w:val="false"/>
          <w:color w:val="231F20"/>
        </w:rPr>
        <w:t> </w:t>
      </w:r>
    </w:p>
    <w:p>
      <w:pPr>
        <w:pStyle w:val="TextBody"/>
        <w:bidi w:val="0"/>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Amendment No. 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CERTIFICATION AND NOTICE OF TERMINATION OF REGISTRATION UNDER SECTION 12(g) OF THE SECURITIES EXCHANGE ACT OF 1934 OR SUSPENSION OF DUTY TO FILE REPORTS UNDER SECTIONS 13 AND 15(d) OF THE SECURITIES EXCHANGE ACT OF 1934.</w:t>
      </w:r>
    </w:p>
    <w:p>
      <w:pPr>
        <w:pStyle w:val="TextBody"/>
        <w:bidi w:val="0"/>
        <w:spacing w:before="0" w:after="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65"/>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pPr>
            <w:r>
              <w:rPr/>
              <w:t>Commission File Number</w:t>
            </w:r>
          </w:p>
        </w:tc>
        <w:tc>
          <w:tcPr>
            <w:tcW w:w="830" w:type="dxa"/>
            <w:tcBorders>
              <w:bottom w:val="single" w:sz="8" w:space="0" w:color="000000"/>
            </w:tcBorders>
            <w:tcMar>
              <w:bottom w:w="28" w:type="dxa"/>
            </w:tcMar>
            <w:vAlign w:val="center"/>
          </w:tcPr>
          <w:p>
            <w:pPr>
              <w:pStyle w:val="TableContents"/>
              <w:bidi w:val="0"/>
              <w:spacing w:before="0" w:after="283"/>
              <w:jc w:val="both"/>
              <w:rPr/>
            </w:pPr>
            <w:r>
              <w:rPr/>
              <w:t>1-14100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221E1F"/>
          <w:sz w:val="28"/>
        </w:rPr>
      </w:pPr>
      <w:r>
        <w:rPr>
          <w:rFonts w:ascii="Times New Roman;Times;Serif" w:hAnsi="Times New Roman;Times;Serif"/>
          <w:b w:val="false"/>
          <w:i w:val="false"/>
          <w:caps w:val="false"/>
          <w:smallCaps w:val="false"/>
          <w:color w:val="221E1F"/>
          <w:sz w:val="28"/>
        </w:rPr>
        <w:t>IMPAC MORTGAGE HOLDINGS, INC.</w:t>
      </w:r>
    </w:p>
    <w:p>
      <w:pPr>
        <w:pStyle w:val="TextBody"/>
        <w:pBdr>
          <w:top w:val="single" w:sz="8" w:space="1" w:color="000000"/>
        </w:pBdr>
        <w:bidi w:val="0"/>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(Exact name of registrant as specified in its charter)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4000 MacArthur Boulevard, Suite 6000, Newport Beach, California 92660</w:t>
      </w:r>
    </w:p>
    <w:p>
      <w:pPr>
        <w:pStyle w:val="TextBody"/>
        <w:pBdr>
          <w:top w:val="single" w:sz="8" w:space="1" w:color="000000"/>
        </w:pBdr>
        <w:bidi w:val="0"/>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(Address, including zip code, and telephone number, including area code, of registrant’s principal executive offices)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Common Stock, par value $0.01 per share; Preferred Stock Purchase Rights</w:t>
      </w:r>
    </w:p>
    <w:p>
      <w:pPr>
        <w:pStyle w:val="TextBody"/>
        <w:pBdr>
          <w:top w:val="single" w:sz="8" w:space="1" w:color="000000"/>
        </w:pBdr>
        <w:bidi w:val="0"/>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(Title of each class of securities covered by this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NONE</w:t>
      </w:r>
    </w:p>
    <w:p>
      <w:pPr>
        <w:pStyle w:val="TextBody"/>
        <w:pBdr>
          <w:top w:val="single" w:sz="8" w:space="1" w:color="000000"/>
        </w:pBdr>
        <w:bidi w:val="0"/>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(Titles of all other classes of securities for which a duty to file reports under section 13(a) or 15(d) remains)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Please place an X in the box(es) to designate the appropriate rule provision(s) relied upon to terminate or suspend the duty to file reports:</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895"/>
        <w:gridCol w:w="305"/>
      </w:tblGrid>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color w:val="211D1E"/>
              </w:rPr>
            </w:pPr>
            <w:r>
              <w:rPr>
                <w:color w:val="211D1E"/>
              </w:rPr>
              <w:t>Rule 12g-4(a)(1)</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color w:val="211D1E"/>
              </w:rPr>
            </w:pPr>
            <w:r>
              <w:rPr>
                <w:color w:val="211D1E"/>
              </w:rPr>
              <w:t>Rule 12g-4(a)(2)</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color w:val="211D1E"/>
              </w:rPr>
            </w:pPr>
            <w:r>
              <w:rPr>
                <w:color w:val="211D1E"/>
              </w:rPr>
              <w:t>Rule 12h-3(b)(1)(i)</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color w:val="211D1E"/>
              </w:rPr>
            </w:pPr>
            <w:r>
              <w:rPr>
                <w:color w:val="211D1E"/>
              </w:rPr>
              <w:t>Rule 12h-3(b)(1)(ii)</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color w:val="211D1E"/>
              </w:rPr>
            </w:pPr>
            <w:r>
              <w:rPr>
                <w:color w:val="211D1E"/>
              </w:rPr>
              <w:t>Rule 15d-6</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color w:val="211D1E"/>
              </w:rPr>
            </w:pPr>
            <w:r>
              <w:rPr>
                <w:color w:val="211D1E"/>
              </w:rPr>
              <w:t xml:space="preserve">Rule 15d-22(b) </w:t>
            </w:r>
          </w:p>
        </w:tc>
        <w:tc>
          <w:tcPr>
            <w:tcW w:w="3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4"/>
        <w:gridCol w:w="4051"/>
      </w:tblGrid>
      <w:tr>
        <w:trPr/>
        <w:tc>
          <w:tcPr>
            <w:tcW w:w="6154" w:type="dxa"/>
            <w:tcBorders/>
            <w:vAlign w:val="center"/>
          </w:tcPr>
          <w:p>
            <w:pPr>
              <w:pStyle w:val="TableContents"/>
              <w:bidi w:val="0"/>
              <w:spacing w:before="0" w:after="283"/>
              <w:jc w:val="left"/>
              <w:rPr>
                <w:color w:val="211D1E"/>
                <w:sz w:val="20"/>
              </w:rPr>
            </w:pPr>
            <w:r>
              <w:rPr>
                <w:color w:val="211D1E"/>
                <w:sz w:val="20"/>
              </w:rPr>
              <w:t xml:space="preserve">Approximate number of holders of record as of the certification or notice date: </w:t>
            </w:r>
          </w:p>
        </w:tc>
        <w:tc>
          <w:tcPr>
            <w:tcW w:w="405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211E1F"/>
                <w:sz w:val="20"/>
              </w:rPr>
            </w:pPr>
            <w:r>
              <w:rPr>
                <w:rFonts w:ascii="Times New Roman;Times;Serif" w:hAnsi="Times New Roman;Times;Serif"/>
                <w:b w:val="false"/>
                <w:i w:val="false"/>
                <w:caps w:val="false"/>
                <w:smallCaps w:val="false"/>
                <w:color w:val="211E1F"/>
                <w:sz w:val="20"/>
              </w:rPr>
              <w:t>Common Stock Holders: 250</w:t>
            </w:r>
          </w:p>
          <w:p>
            <w:pPr>
              <w:pStyle w:val="TableContents"/>
              <w:bidi w:val="0"/>
              <w:spacing w:before="0" w:after="0"/>
              <w:ind w:left="0" w:right="0" w:hanging="0"/>
              <w:jc w:val="left"/>
              <w:rPr>
                <w:rFonts w:ascii="Times New Roman;Times;Serif" w:hAnsi="Times New Roman;Times;Serif"/>
                <w:b w:val="false"/>
                <w:i w:val="false"/>
                <w:caps w:val="false"/>
                <w:smallCaps w:val="false"/>
                <w:color w:val="211E1F"/>
                <w:sz w:val="20"/>
              </w:rPr>
            </w:pPr>
            <w:r>
              <w:rPr>
                <w:rFonts w:ascii="Times New Roman;Times;Serif" w:hAnsi="Times New Roman;Times;Serif"/>
                <w:b w:val="false"/>
                <w:i w:val="false"/>
                <w:caps w:val="false"/>
                <w:smallCaps w:val="false"/>
                <w:color w:val="211E1F"/>
                <w:sz w:val="20"/>
              </w:rPr>
              <w:t>Preferred Stock Purchase Rights Holders: 250</w:t>
            </w:r>
          </w:p>
        </w:tc>
      </w:tr>
      <w:tr>
        <w:trPr/>
        <w:tc>
          <w:tcPr>
            <w:tcW w:w="6154" w:type="dxa"/>
            <w:tcBorders/>
            <w:vAlign w:val="center"/>
          </w:tcPr>
          <w:p>
            <w:pPr>
              <w:pStyle w:val="TableContents"/>
              <w:bidi w:val="0"/>
              <w:spacing w:before="0" w:after="283"/>
              <w:jc w:val="left"/>
              <w:rPr/>
            </w:pPr>
            <w:r>
              <w:rPr/>
              <w:t> </w:t>
            </w:r>
          </w:p>
        </w:tc>
        <w:tc>
          <w:tcPr>
            <w:tcW w:w="4051" w:type="dxa"/>
            <w:tcBorders/>
            <w:vAlign w:val="center"/>
          </w:tcPr>
          <w:p>
            <w:pPr>
              <w:pStyle w:val="TableContents"/>
              <w:bidi w:val="0"/>
              <w:spacing w:before="0" w:after="283"/>
              <w:jc w:val="left"/>
              <w:rPr/>
            </w:pPr>
            <w:r>
              <w:rPr/>
              <w:t>IMPAC MORTGAGE HOLDINGS,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Pursuant to the requirements of the Securities Exchange Act of 1934 </w:t>
      </w:r>
      <w:r>
        <w:rPr>
          <w:rFonts w:ascii="Times New Roman;Times;Serif" w:hAnsi="Times New Roman;Times;Serif"/>
          <w:b w:val="false"/>
          <w:i/>
          <w:caps w:val="false"/>
          <w:smallCaps w:val="false"/>
          <w:color w:val="231F20"/>
          <w:sz w:val="20"/>
        </w:rPr>
        <w:t>(Name of registrant as specified in charter)</w:t>
      </w:r>
      <w:r>
        <w:rPr>
          <w:rFonts w:ascii="Times New Roman;Times;Serif" w:hAnsi="Times New Roman;Times;Serif"/>
          <w:b w:val="false"/>
          <w:i w:val="false"/>
          <w:caps w:val="false"/>
          <w:smallCaps w:val="false"/>
          <w:color w:val="231F20"/>
          <w:sz w:val="20"/>
        </w:rPr>
        <w:t xml:space="preserve"> has caused this certification/notice to be signed on its behalf by the undersigned duly authorized person.</w:t>
      </w:r>
    </w:p>
    <w:p>
      <w:pPr>
        <w:pStyle w:val="TextBody"/>
        <w:bidi w:val="0"/>
        <w:spacing w:before="0" w:after="0"/>
        <w:ind w:left="0" w:right="0" w:hanging="0"/>
        <w:jc w:val="left"/>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605"/>
        <w:gridCol w:w="1355"/>
        <w:gridCol w:w="60"/>
        <w:gridCol w:w="365"/>
        <w:gridCol w:w="3245"/>
      </w:tblGrid>
      <w:tr>
        <w:trPr/>
        <w:tc>
          <w:tcPr>
            <w:tcW w:w="605" w:type="dxa"/>
            <w:tcBorders/>
            <w:vAlign w:val="center"/>
          </w:tcPr>
          <w:p>
            <w:pPr>
              <w:pStyle w:val="TableContents"/>
              <w:bidi w:val="0"/>
              <w:spacing w:before="0" w:after="283"/>
              <w:jc w:val="left"/>
              <w:rPr>
                <w:color w:val="211D1E"/>
              </w:rPr>
            </w:pPr>
            <w:r>
              <w:rPr>
                <w:color w:val="211D1E"/>
              </w:rPr>
              <w:t xml:space="preserve">Date: </w:t>
            </w:r>
          </w:p>
        </w:tc>
        <w:tc>
          <w:tcPr>
            <w:tcW w:w="1355" w:type="dxa"/>
            <w:tcBorders>
              <w:bottom w:val="single" w:sz="8" w:space="0" w:color="000000"/>
            </w:tcBorders>
            <w:tcMar>
              <w:bottom w:w="28" w:type="dxa"/>
            </w:tcMar>
            <w:vAlign w:val="center"/>
          </w:tcPr>
          <w:p>
            <w:pPr>
              <w:pStyle w:val="TableContents"/>
              <w:bidi w:val="0"/>
              <w:spacing w:before="0" w:after="283"/>
              <w:jc w:val="left"/>
              <w:rPr/>
            </w:pPr>
            <w:r>
              <w:rPr/>
              <w:t>May 11, 2023</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245" w:type="dxa"/>
            <w:tcBorders>
              <w:bottom w:val="single" w:sz="8" w:space="0" w:color="000000"/>
            </w:tcBorders>
            <w:tcMar>
              <w:bottom w:w="28" w:type="dxa"/>
            </w:tcMar>
            <w:vAlign w:val="center"/>
          </w:tcPr>
          <w:p>
            <w:pPr>
              <w:pStyle w:val="TableContents"/>
              <w:bidi w:val="0"/>
              <w:spacing w:before="0" w:after="283"/>
              <w:jc w:val="left"/>
              <w:rPr/>
            </w:pPr>
            <w:r>
              <w:rPr/>
              <w:t xml:space="preserve">/s/ </w:t>
            </w:r>
            <w:r>
              <w:rPr>
                <w:color w:val="211E1F"/>
              </w:rPr>
              <w:t>Joseph Joffrion</w:t>
            </w:r>
          </w:p>
        </w:tc>
      </w:tr>
      <w:tr>
        <w:trPr/>
        <w:tc>
          <w:tcPr>
            <w:tcW w:w="60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color w:val="211E1F"/>
              </w:rPr>
            </w:pPr>
            <w:r>
              <w:rPr>
                <w:color w:val="211E1F"/>
              </w:rPr>
              <w:t xml:space="preserve">Joseph Joffrion, General Counsel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Instruction: This form is required by Rules 12g-4, 12h-3, 15d-6 and 15d-22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5"/>
        <w:gridCol w:w="9050"/>
      </w:tblGrid>
      <w:tr>
        <w:trPr/>
        <w:tc>
          <w:tcPr>
            <w:tcW w:w="1155" w:type="dxa"/>
            <w:tcBorders/>
            <w:vAlign w:val="center"/>
          </w:tcPr>
          <w:p>
            <w:pPr>
              <w:pStyle w:val="TableContents"/>
              <w:bidi w:val="0"/>
              <w:spacing w:before="0" w:after="283"/>
              <w:jc w:val="left"/>
              <w:rPr>
                <w:color w:val="211D1E"/>
                <w:sz w:val="20"/>
              </w:rPr>
            </w:pPr>
            <w:r>
              <w:rPr>
                <w:color w:val="211D1E"/>
                <w:sz w:val="20"/>
              </w:rPr>
              <w:t xml:space="preserve">SEC 2069 (08-11) </w:t>
            </w:r>
          </w:p>
        </w:tc>
        <w:tc>
          <w:tcPr>
            <w:tcW w:w="9050" w:type="dxa"/>
            <w:tcBorders/>
            <w:vAlign w:val="center"/>
          </w:tcPr>
          <w:p>
            <w:pPr>
              <w:pStyle w:val="TableContents"/>
              <w:bidi w:val="0"/>
              <w:spacing w:before="0" w:after="283"/>
              <w:jc w:val="both"/>
              <w:rPr>
                <w:color w:val="211D1E"/>
                <w:sz w:val="20"/>
              </w:rPr>
            </w:pPr>
            <w:r>
              <w:rPr>
                <w:color w:val="211D1E"/>
                <w:sz w:val="20"/>
              </w:rPr>
              <w:t>Persons who respond to the collection of information contained in this form are not required to respond unless the form displays a currently valid OMB control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375</Words>
  <Characters>1983</Characters>
  <CharactersWithSpaces>2387</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