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0001576118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Impac Mortgage Holdings, Inc.</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001-14100</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19500 Jamboree Road</w:t>
              <w:br/>
              <w:t>Irvine</w:t>
              <w:br/>
              <w:t xml:space="preserve">CALIFORNIA </w:t>
              <w:br/>
              <w:t>92612</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949-475-6300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RHP Trust, dated May 31, 2011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200000</w:t>
            </w:r>
          </w:p>
        </w:tc>
        <w:tc>
          <w:tcPr>
            <w:tcW w:w="1393" w:type="dxa"/>
            <w:tcBorders/>
            <w:vAlign w:val="center"/>
          </w:tcPr>
          <w:p>
            <w:pPr>
              <w:pStyle w:val="TableContents"/>
              <w:bidi w:val="0"/>
              <w:spacing w:before="0" w:after="283"/>
              <w:jc w:val="left"/>
              <w:rPr/>
            </w:pPr>
            <w:r>
              <w:rPr/>
              <w:t>6000</w:t>
            </w:r>
          </w:p>
        </w:tc>
        <w:tc>
          <w:tcPr>
            <w:tcW w:w="1566" w:type="dxa"/>
            <w:tcBorders/>
            <w:vAlign w:val="center"/>
          </w:tcPr>
          <w:p>
            <w:pPr>
              <w:pStyle w:val="TableContents"/>
              <w:bidi w:val="0"/>
              <w:spacing w:before="0" w:after="283"/>
              <w:jc w:val="left"/>
              <w:rPr/>
            </w:pPr>
            <w:r>
              <w:rPr/>
              <w:t>36568876</w:t>
            </w:r>
          </w:p>
        </w:tc>
        <w:tc>
          <w:tcPr>
            <w:tcW w:w="1575" w:type="dxa"/>
            <w:tcBorders/>
            <w:vAlign w:val="center"/>
          </w:tcPr>
          <w:p>
            <w:pPr>
              <w:pStyle w:val="TableContents"/>
              <w:bidi w:val="0"/>
              <w:spacing w:before="0" w:after="283"/>
              <w:jc w:val="left"/>
              <w:rPr/>
            </w:pPr>
            <w:r>
              <w:rPr/>
              <w:t>11/15/2023</w:t>
            </w:r>
          </w:p>
        </w:tc>
        <w:tc>
          <w:tcPr>
            <w:tcW w:w="1397" w:type="dxa"/>
            <w:tcBorders/>
            <w:vAlign w:val="center"/>
          </w:tcPr>
          <w:p>
            <w:pPr>
              <w:pStyle w:val="TableContents"/>
              <w:bidi w:val="0"/>
              <w:spacing w:before="0" w:after="0"/>
              <w:jc w:val="left"/>
              <w:rPr/>
            </w:pPr>
            <w:r>
              <w:rPr/>
              <w:t>OTC</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12/31/2014</w:t>
            </w:r>
          </w:p>
        </w:tc>
        <w:tc>
          <w:tcPr>
            <w:tcW w:w="1505" w:type="dxa"/>
            <w:tcBorders/>
            <w:vAlign w:val="center"/>
          </w:tcPr>
          <w:p>
            <w:pPr>
              <w:pStyle w:val="TableContents"/>
              <w:bidi w:val="0"/>
              <w:spacing w:before="0" w:after="283"/>
              <w:jc w:val="left"/>
              <w:rPr/>
            </w:pPr>
            <w:r>
              <w:rPr/>
              <w:t>Open Market Purchase</w:t>
            </w:r>
          </w:p>
        </w:tc>
        <w:tc>
          <w:tcPr>
            <w:tcW w:w="1218" w:type="dxa"/>
            <w:tcBorders/>
            <w:vAlign w:val="center"/>
          </w:tcPr>
          <w:p>
            <w:pPr>
              <w:pStyle w:val="TableContents"/>
              <w:bidi w:val="0"/>
              <w:spacing w:before="0" w:after="283"/>
              <w:jc w:val="left"/>
              <w:rPr/>
            </w:pPr>
            <w:r>
              <w:rPr/>
              <w:t>Open Market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200000</w:t>
            </w:r>
          </w:p>
        </w:tc>
        <w:tc>
          <w:tcPr>
            <w:tcW w:w="1078" w:type="dxa"/>
            <w:tcBorders/>
            <w:vAlign w:val="center"/>
          </w:tcPr>
          <w:p>
            <w:pPr>
              <w:pStyle w:val="TableContents"/>
              <w:bidi w:val="0"/>
              <w:spacing w:before="0" w:after="283"/>
              <w:jc w:val="left"/>
              <w:rPr/>
            </w:pPr>
            <w:r>
              <w:rPr/>
              <w:t>12/31/2014</w:t>
            </w:r>
          </w:p>
        </w:tc>
        <w:tc>
          <w:tcPr>
            <w:tcW w:w="1237" w:type="dxa"/>
            <w:tcBorders/>
            <w:vAlign w:val="center"/>
          </w:tcPr>
          <w:p>
            <w:pPr>
              <w:pStyle w:val="TableContents"/>
              <w:bidi w:val="0"/>
              <w:spacing w:before="0" w:after="283"/>
              <w:jc w:val="left"/>
              <w:rPr/>
            </w:pPr>
            <w:r>
              <w:rPr/>
              <w:t>Broker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2"/>
        <w:gridCol w:w="1559"/>
        <w:gridCol w:w="1682"/>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2"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RHP Trust</w:t>
              <w:br/>
              <w:t>1400 NEWPORT CENTER DRIVE</w:t>
              <w:br/>
              <w:t>SUITE 230</w:t>
              <w:br/>
              <w:t>NEWPORT BEACH   CA   92660</w:t>
            </w:r>
          </w:p>
        </w:tc>
        <w:tc>
          <w:tcPr>
            <w:tcW w:w="2930" w:type="dxa"/>
            <w:tcBorders/>
            <w:vAlign w:val="center"/>
          </w:tcPr>
          <w:p>
            <w:pPr>
              <w:pStyle w:val="TableContents"/>
              <w:bidi w:val="0"/>
              <w:spacing w:before="0" w:after="283"/>
              <w:jc w:val="left"/>
              <w:rPr/>
            </w:pPr>
            <w:r>
              <w:rPr/>
              <w:t xml:space="preserve">Common </w:t>
            </w:r>
          </w:p>
        </w:tc>
        <w:tc>
          <w:tcPr>
            <w:tcW w:w="942" w:type="dxa"/>
            <w:tcBorders/>
            <w:vAlign w:val="center"/>
          </w:tcPr>
          <w:p>
            <w:pPr>
              <w:pStyle w:val="TableContents"/>
              <w:bidi w:val="0"/>
              <w:spacing w:before="0" w:after="283"/>
              <w:jc w:val="left"/>
              <w:rPr/>
            </w:pPr>
            <w:r>
              <w:rPr/>
              <w:t>11/15/2023</w:t>
            </w:r>
          </w:p>
        </w:tc>
        <w:tc>
          <w:tcPr>
            <w:tcW w:w="1559" w:type="dxa"/>
            <w:tcBorders/>
            <w:vAlign w:val="center"/>
          </w:tcPr>
          <w:p>
            <w:pPr>
              <w:pStyle w:val="TableContents"/>
              <w:bidi w:val="0"/>
              <w:spacing w:before="0" w:after="283"/>
              <w:jc w:val="left"/>
              <w:rPr/>
            </w:pPr>
            <w:r>
              <w:rPr/>
              <w:t>200000</w:t>
            </w:r>
          </w:p>
        </w:tc>
        <w:tc>
          <w:tcPr>
            <w:tcW w:w="1682" w:type="dxa"/>
            <w:tcBorders/>
            <w:vAlign w:val="center"/>
          </w:tcPr>
          <w:p>
            <w:pPr>
              <w:pStyle w:val="TableContents"/>
              <w:bidi w:val="0"/>
              <w:spacing w:before="0" w:after="283"/>
              <w:jc w:val="left"/>
              <w:rPr/>
            </w:pPr>
            <w:r>
              <w:rPr/>
              <w:t>6000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591"/>
        <w:gridCol w:w="7614"/>
      </w:tblGrid>
      <w:tr>
        <w:trPr/>
        <w:tc>
          <w:tcPr>
            <w:tcW w:w="2591" w:type="dxa"/>
            <w:tcBorders/>
            <w:vAlign w:val="center"/>
          </w:tcPr>
          <w:p>
            <w:pPr>
              <w:pStyle w:val="TableContents"/>
              <w:bidi w:val="0"/>
              <w:spacing w:before="0" w:after="283"/>
              <w:jc w:val="left"/>
              <w:rPr/>
            </w:pPr>
            <w:r>
              <w:rPr/>
              <w:t>Remarks</w:t>
            </w:r>
          </w:p>
        </w:tc>
        <w:tc>
          <w:tcPr>
            <w:tcW w:w="7614" w:type="dxa"/>
            <w:tcBorders/>
            <w:vAlign w:val="center"/>
          </w:tcPr>
          <w:p>
            <w:pPr>
              <w:pStyle w:val="TableContents"/>
              <w:bidi w:val="0"/>
              <w:spacing w:before="0" w:after="0"/>
              <w:jc w:val="left"/>
              <w:rPr/>
            </w:pPr>
            <w:r>
              <w:rPr/>
              <w:t>Acquisitions were at various dates through 2013 and 2014.</w:t>
            </w:r>
          </w:p>
        </w:tc>
      </w:tr>
      <w:tr>
        <w:trPr/>
        <w:tc>
          <w:tcPr>
            <w:tcW w:w="2591" w:type="dxa"/>
            <w:tcBorders/>
            <w:vAlign w:val="center"/>
          </w:tcPr>
          <w:p>
            <w:pPr>
              <w:pStyle w:val="TableContents"/>
              <w:bidi w:val="0"/>
              <w:spacing w:before="0" w:after="283"/>
              <w:jc w:val="left"/>
              <w:rPr/>
            </w:pPr>
            <w:r>
              <w:rPr/>
              <w:t>Date of Notice</w:t>
            </w:r>
          </w:p>
        </w:tc>
        <w:tc>
          <w:tcPr>
            <w:tcW w:w="7614" w:type="dxa"/>
            <w:tcBorders/>
            <w:vAlign w:val="center"/>
          </w:tcPr>
          <w:p>
            <w:pPr>
              <w:pStyle w:val="TableContents"/>
              <w:bidi w:val="0"/>
              <w:spacing w:before="0" w:after="0"/>
              <w:jc w:val="left"/>
              <w:rPr/>
            </w:pPr>
            <w:r>
              <w:rPr/>
              <w:t>11/17/2023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91" w:type="dxa"/>
            <w:tcBorders/>
            <w:vAlign w:val="center"/>
          </w:tcPr>
          <w:p>
            <w:pPr>
              <w:pStyle w:val="TableContents"/>
              <w:bidi w:val="0"/>
              <w:spacing w:before="0" w:after="283"/>
              <w:jc w:val="left"/>
              <w:rPr/>
            </w:pPr>
            <w:r>
              <w:rPr/>
              <w:t>Signature</w:t>
            </w:r>
          </w:p>
        </w:tc>
        <w:tc>
          <w:tcPr>
            <w:tcW w:w="7614" w:type="dxa"/>
            <w:tcBorders/>
            <w:vAlign w:val="center"/>
          </w:tcPr>
          <w:p>
            <w:pPr>
              <w:pStyle w:val="TableContents"/>
              <w:bidi w:val="0"/>
              <w:spacing w:before="0" w:after="0"/>
              <w:jc w:val="left"/>
              <w:rPr/>
            </w:pPr>
            <w:r>
              <w:rPr/>
              <w:t>/s/ Richard H. Pickup, Trustee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3106</Characters>
  <CharactersWithSpaces>3665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